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26-89</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481—762.9(154,272C)</w:t>
      </w:r>
    </w:p>
    <w:p>
      <w:pPr>
        <w:spacing w:before="0" w:after="0" w:line="480"/>
        <w:ind w:left="120"/>
        <w:jc w:val="center"/>
      </w:pPr>
      <w:r>
        <w:rPr>
          <w:rFonts w:ascii="Times New Roman" w:hAnsi="Times New Roman"/>
          <w:b w:val="false"/>
          <w:i w:val="false"/>
          <w:color w:val="000000"/>
          <w:sz w:val="24"/>
        </w:rPr>
        <w:t>“Teleoptometry”</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154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154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99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1 p.m.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6200 Park Avenue</w:t>
            </w:r>
            <w:r>
              <w:br/>
            </w:r>
            <w:r>
              <w:rPr>
                <w:rFonts w:ascii="Times New Roman" w:hAnsi="Times New Roman"/>
                <w:b w:val="false"/>
                <w:i w:val="false"/>
                <w:color w:val="000000"/>
                <w:sz w:val="21"/>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Board of Optometry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712"/>
      </w:tblGrid>
      <w:tr>
        <w:trPr>
          <w:trHeight w:val="2430" w:hRule="atLeast"/>
        </w:trPr>
        <w:tc>
          <w:tcPr>
            <w:tcW w:w="47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Emily DeRonde </w:t>
            </w:r>
            <w:r>
              <w:br/>
            </w:r>
            <w:r>
              <w:rPr>
                <w:rFonts w:ascii="Times New Roman" w:hAnsi="Times New Roman"/>
                <w:b w:val="false"/>
                <w:i w:val="false"/>
                <w:color w:val="000000"/>
                <w:sz w:val="21"/>
              </w:rPr>
              <w:t xml:space="preserve">6200 Park Avenue </w:t>
            </w:r>
            <w:r>
              <w:br/>
            </w:r>
            <w:r>
              <w:rPr>
                <w:rFonts w:ascii="Times New Roman" w:hAnsi="Times New Roman"/>
                <w:b w:val="false"/>
                <w:i w:val="false"/>
                <w:color w:val="000000"/>
                <w:sz w:val="21"/>
              </w:rPr>
              <w:t xml:space="preserve">Des Moines, Iowa 50321 </w:t>
            </w:r>
            <w:r>
              <w:br/>
            </w:r>
            <w:r>
              <w:rPr>
                <w:rFonts w:ascii="Times New Roman" w:hAnsi="Times New Roman"/>
                <w:b w:val="false"/>
                <w:i w:val="false"/>
                <w:color w:val="000000"/>
                <w:sz w:val="21"/>
              </w:rPr>
              <w:t>Phone: 515.249.7038</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emily.deronde@dia.iowa.gov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proposes a rule for teleoptometry and lists requirements to meet the standard of care for optometric services provided through this modality. This rulemaking also provides relevant definitions for teleoptometry services.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related to this proposed rulemaking other than the costs already incurred by the Board to enforce the rules. Licensed optometrists will not incur any additional costs other than the cost to ensure the technology meets requirements if they choose to provide teleoptometry services.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provides requirements for teleoptometry services so that patients can receive competent care and licensees have guidelines to ensure they meet the standard of care.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payment/copayment for optometry services provided. Optometrists would be responsible for ensuring they meet the requirements for teleoptometry.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Board believes that the benefits achieved justify the costs because the rule provides requirements for teleoptometry services, which will ensure safe and competent care for patients.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The Board does not anticipate any further costs than are already incurred. The time needed to manage this provision is generally in the form of responding to questions related to practice standards.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 Staff salaries to support the work of the Board are covered by the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developed rules to clarify the standard of care requirements for teleoptometry.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does not believe there is a less costly or less intrusive method to achieve the purpose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 relates to public safety concerns that are present whether the business is a small business or a large corporation. While some optometrists may work in a smaller optometry office, some also work for large corporations, hospitals, and other optometry facilities. To exempt small businesses from adhering to this chapter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481—762.9(154,272C)</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481—762.9</w:t>
      </w:r>
      <w:r>
        <w:rPr>
          <w:rFonts w:ascii="Times New Roman" w:hAnsi="Times New Roman"/>
          <w:b/>
          <w:i w:val="false"/>
          <w:color w:val="000000"/>
          <w:sz w:val="24"/>
        </w:rPr>
        <w:t xml:space="preserve">(154,272C) </w:t>
      </w:r>
      <w:r>
        <w:rPr>
          <w:rFonts w:ascii="Times New Roman" w:hAnsi="Times New Roman"/>
          <w:b/>
          <w:i w:val="false"/>
          <w:color w:val="000000"/>
          <w:sz w:val="24"/>
        </w:rPr>
        <w:t xml:space="preserve">Teleoptometry.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these rules, the following definitions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“Asynchronous store-and-forward transmission”</w:t>
      </w:r>
      <w:r>
        <w:rPr>
          <w:rFonts w:ascii="Times New Roman" w:hAnsi="Times New Roman"/>
          <w:b w:val="false"/>
          <w:i/>
          <w:color w:val="000000"/>
          <w:sz w:val="24"/>
          <w:u w:val="single"/>
        </w:rPr>
        <w:t> </w:t>
      </w:r>
      <w:r>
        <w:rPr>
          <w:rFonts w:ascii="Times New Roman" w:hAnsi="Times New Roman"/>
          <w:b w:val="false"/>
          <w:i w:val="false"/>
          <w:color w:val="000000"/>
          <w:sz w:val="24"/>
        </w:rPr>
        <w:t>means the collection of a patient’s relevant health information and the subsequent transmission of the data from an originating site to a health care provider at a distant site without the presence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“In-person encounter”</w:t>
      </w:r>
      <w:r>
        <w:rPr>
          <w:rFonts w:ascii="Times New Roman" w:hAnsi="Times New Roman"/>
          <w:b w:val="false"/>
          <w:i/>
          <w:color w:val="000000"/>
          <w:sz w:val="24"/>
          <w:u w:val="single"/>
        </w:rPr>
        <w:t> </w:t>
      </w:r>
      <w:r>
        <w:rPr>
          <w:rFonts w:ascii="Times New Roman" w:hAnsi="Times New Roman"/>
          <w:b w:val="false"/>
          <w:i w:val="false"/>
          <w:color w:val="000000"/>
          <w:sz w:val="24"/>
        </w:rPr>
        <w:t>means that the optometrist and the patient are in the physical presence of each other and are in the same physical location during the physician-patient encounter.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“Teleoptometry”</w:t>
      </w:r>
      <w:r>
        <w:rPr>
          <w:rFonts w:ascii="Times New Roman" w:hAnsi="Times New Roman"/>
          <w:b w:val="false"/>
          <w:i/>
          <w:color w:val="000000"/>
          <w:sz w:val="24"/>
          <w:u w:val="single"/>
        </w:rPr>
        <w:t> </w:t>
      </w:r>
      <w:r>
        <w:rPr>
          <w:rFonts w:ascii="Times New Roman" w:hAnsi="Times New Roman"/>
          <w:b w:val="false"/>
          <w:i w:val="false"/>
          <w:color w:val="000000"/>
          <w:sz w:val="24"/>
        </w:rPr>
        <w:t>means the practice of optometry using audio-visual communications and information technologies or other means, including interactive audio with asynchronous store-and-forward transmission, between a licensee in one location and a patient in another location with or without an intervening health care provider. Teleoptometry includes asynchronous store-and-forward technologies, remote monitoring, and real-time interactive services. Teleoptometry shall not include the provision of optometry services only through an audio-only telephone, text messages, email messages, fax transmissions, or U.S. mail or other parcel service, or any combination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762.9(2)</w:t>
      </w:r>
      <w:r>
        <w:rPr>
          <w:rFonts w:ascii="Times New Roman" w:hAnsi="Times New Roman"/>
          <w:b w:val="false"/>
          <w:i w:val="false"/>
          <w:color w:val="000000"/>
          <w:sz w:val="24"/>
        </w:rPr>
        <w:t> </w:t>
      </w:r>
      <w:r>
        <w:rPr>
          <w:rFonts w:ascii="Times New Roman" w:hAnsi="Times New Roman"/>
          <w:b w:val="false"/>
          <w:i/>
          <w:color w:val="000000"/>
          <w:sz w:val="24"/>
        </w:rPr>
        <w:t xml:space="preserve">Iowa optometry license required. </w:t>
      </w:r>
      <w:r>
        <w:rPr>
          <w:rFonts w:ascii="Times New Roman" w:hAnsi="Times New Roman"/>
          <w:b w:val="false"/>
          <w:i w:val="false"/>
          <w:color w:val="000000"/>
          <w:sz w:val="24"/>
        </w:rPr>
        <w:t>An optometrist who uses teleoptometry in the diagnosis and treatment of a patient located in Iowa shall hold an active Iowa optometry license consistent with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762.9(3)</w:t>
      </w:r>
      <w:r>
        <w:rPr>
          <w:rFonts w:ascii="Times New Roman" w:hAnsi="Times New Roman"/>
          <w:b w:val="false"/>
          <w:i w:val="false"/>
          <w:color w:val="000000"/>
          <w:sz w:val="24"/>
        </w:rPr>
        <w:t> </w:t>
      </w:r>
      <w:r>
        <w:rPr>
          <w:rFonts w:ascii="Times New Roman" w:hAnsi="Times New Roman"/>
          <w:b w:val="false"/>
          <w:i/>
          <w:color w:val="000000"/>
          <w:sz w:val="24"/>
        </w:rPr>
        <w:t xml:space="preserve">Standards of care and professional ethics. </w:t>
      </w:r>
      <w:r>
        <w:rPr>
          <w:rFonts w:ascii="Times New Roman" w:hAnsi="Times New Roman"/>
          <w:b w:val="false"/>
          <w:i w:val="false"/>
          <w:color w:val="000000"/>
          <w:sz w:val="24"/>
        </w:rPr>
        <w:t>A licensee who uses teleoptometry is held to the same standards of care and professional ethics as a licensee using traditional in-person encounters with patients. Failure to conform to the appropriate standards of care or professional ethics while using teleoptometry may be a violation of the laws and rules governing the practice of medicine and may subject the licensee to potential discipline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762.9(4)</w:t>
      </w:r>
      <w:r>
        <w:rPr>
          <w:rFonts w:ascii="Times New Roman" w:hAnsi="Times New Roman"/>
          <w:b w:val="false"/>
          <w:i w:val="false"/>
          <w:color w:val="000000"/>
          <w:sz w:val="24"/>
        </w:rPr>
        <w:t> </w:t>
      </w:r>
      <w:r>
        <w:rPr>
          <w:rFonts w:ascii="Times New Roman" w:hAnsi="Times New Roman"/>
          <w:b w:val="false"/>
          <w:i/>
          <w:color w:val="000000"/>
          <w:sz w:val="24"/>
        </w:rPr>
        <w:t xml:space="preserve">Scope of practice. </w:t>
      </w:r>
      <w:r>
        <w:rPr>
          <w:rFonts w:ascii="Times New Roman" w:hAnsi="Times New Roman"/>
          <w:b w:val="false"/>
          <w:i w:val="false"/>
          <w:color w:val="000000"/>
          <w:sz w:val="24"/>
        </w:rPr>
        <w:t>A licensee who uses teleoptometry shall ensure that the services provided are consistent with the licensee’s scope of practice, including the licensee’s education, training, experience, ability and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762.9(5)</w:t>
      </w:r>
      <w:r>
        <w:rPr>
          <w:rFonts w:ascii="Times New Roman" w:hAnsi="Times New Roman"/>
          <w:b w:val="false"/>
          <w:i w:val="false"/>
          <w:color w:val="000000"/>
          <w:sz w:val="24"/>
        </w:rPr>
        <w:t> </w:t>
      </w:r>
      <w:r>
        <w:rPr>
          <w:rFonts w:ascii="Times New Roman" w:hAnsi="Times New Roman"/>
          <w:b w:val="false"/>
          <w:i/>
          <w:color w:val="000000"/>
          <w:sz w:val="24"/>
        </w:rPr>
        <w:t xml:space="preserve">Identification of patient and physician. </w:t>
      </w:r>
      <w:r>
        <w:rPr>
          <w:rFonts w:ascii="Times New Roman" w:hAnsi="Times New Roman"/>
          <w:b w:val="false"/>
          <w:i w:val="false"/>
          <w:color w:val="000000"/>
          <w:sz w:val="24"/>
        </w:rPr>
        <w:t>A licensee who uses teleoptometry shall verify the identity of the patient and ensure that the patient has the ability to verify the identity, licensure status, certification, and credentials of all health care providers who provide teleoptometry services prior to the provision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762.9(6)</w:t>
      </w:r>
      <w:r>
        <w:rPr>
          <w:rFonts w:ascii="Times New Roman" w:hAnsi="Times New Roman"/>
          <w:b w:val="false"/>
          <w:i w:val="false"/>
          <w:color w:val="000000"/>
          <w:sz w:val="24"/>
        </w:rPr>
        <w:t> </w:t>
      </w:r>
      <w:r>
        <w:rPr>
          <w:rFonts w:ascii="Times New Roman" w:hAnsi="Times New Roman"/>
          <w:b w:val="false"/>
          <w:i/>
          <w:color w:val="000000"/>
          <w:sz w:val="24"/>
        </w:rPr>
        <w:t xml:space="preserve">Optometrist-patient relationship.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licensee who uses teleoptometry shall establish a valid optometrist-patient relationship with the person who receives teleoptometry services. The optometrist-patient relationship begins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with a health-related matter seeks assistance from a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licensee agrees to undertake diagnosis and treatment of the person;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agrees to be treated by the licensee whether or not there has been an in-person encounter between the optometrist and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valid optometrist-patient relationship may be established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In-person encounter. Through an in-person medical interview and physical examination where the standard of care would require an in-person encounter;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Consultation with another licensee. Through consultation with another licensee (or other health care provider) who has an established relationship with the patient and who agrees to participate in, or supervise, the patient’s 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Teleoptometry encounter. Through teleoptometry, and in accordance with evidence-based standards of practice and teleoptometry practice guidelines that address the clinical and technological aspects of telemedicine. An optometrist shall not conduct an examination using teleoptometry if the standard of care necessitates an in-person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762.9(7)</w:t>
      </w:r>
      <w:r>
        <w:rPr>
          <w:rFonts w:ascii="Times New Roman" w:hAnsi="Times New Roman"/>
          <w:b w:val="false"/>
          <w:i w:val="false"/>
          <w:color w:val="000000"/>
          <w:sz w:val="24"/>
        </w:rPr>
        <w:t> </w:t>
      </w:r>
      <w:r>
        <w:rPr>
          <w:rFonts w:ascii="Times New Roman" w:hAnsi="Times New Roman"/>
          <w:b w:val="false"/>
          <w:i/>
          <w:color w:val="000000"/>
          <w:sz w:val="24"/>
        </w:rPr>
        <w:t xml:space="preserve">Medical history and physical examination. </w:t>
      </w:r>
      <w:r>
        <w:rPr>
          <w:rFonts w:ascii="Times New Roman" w:hAnsi="Times New Roman"/>
          <w:b w:val="false"/>
          <w:i w:val="false"/>
          <w:color w:val="000000"/>
          <w:sz w:val="24"/>
        </w:rPr>
        <w:t>A medical interview and physical examination may be done through teleoptometry if the technology utilized in a teleoptometry encounter is sufficient to establish an informed diagnosis as though the medical interview and physical examination had been performed in person. Prior to providing treatment, including issuing prescriptions, electronically or otherwise, a licensee who uses teleoptometry shall interview the patient to collect the relevant medical history and perform a physical examination, when medically necessary, sufficient for the diagnosis and treatment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762.9(8)</w:t>
      </w:r>
      <w:r>
        <w:rPr>
          <w:rFonts w:ascii="Times New Roman" w:hAnsi="Times New Roman"/>
          <w:b w:val="false"/>
          <w:i w:val="false"/>
          <w:color w:val="000000"/>
          <w:sz w:val="24"/>
        </w:rPr>
        <w:t> </w:t>
      </w:r>
      <w:r>
        <w:rPr>
          <w:rFonts w:ascii="Times New Roman" w:hAnsi="Times New Roman"/>
          <w:b w:val="false"/>
          <w:i/>
          <w:color w:val="000000"/>
          <w:sz w:val="24"/>
        </w:rPr>
        <w:t xml:space="preserve">Patient records. </w:t>
      </w:r>
      <w:r>
        <w:rPr>
          <w:rFonts w:ascii="Times New Roman" w:hAnsi="Times New Roman"/>
          <w:b w:val="false"/>
          <w:i w:val="false"/>
          <w:color w:val="000000"/>
          <w:sz w:val="24"/>
        </w:rPr>
        <w:t>A teleoptometry encounter shall be clearly characterized as such in a patient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762.9(9)</w:t>
      </w:r>
      <w:r>
        <w:rPr>
          <w:rFonts w:ascii="Times New Roman" w:hAnsi="Times New Roman"/>
          <w:b w:val="false"/>
          <w:i w:val="false"/>
          <w:color w:val="000000"/>
          <w:sz w:val="24"/>
        </w:rPr>
        <w:t> </w:t>
      </w:r>
      <w:r>
        <w:rPr>
          <w:rFonts w:ascii="Times New Roman" w:hAnsi="Times New Roman"/>
          <w:b w:val="false"/>
          <w:i/>
          <w:color w:val="000000"/>
          <w:sz w:val="24"/>
        </w:rPr>
        <w:t xml:space="preserve">Informed consent. </w:t>
      </w:r>
      <w:r>
        <w:rPr>
          <w:rFonts w:ascii="Times New Roman" w:hAnsi="Times New Roman"/>
          <w:b w:val="false"/>
          <w:i w:val="false"/>
          <w:color w:val="000000"/>
          <w:sz w:val="24"/>
        </w:rPr>
        <w:t>A licensee who uses teleoptometry shall ensure that the patient provides appropriate informed consent for the optometric services provided, including consent for the use of teleoptometry to diagnose and treat the patient. A licensee shall inform the patient at the time of scheduling, or the earliest time at which the licensee becomes aware that this will be a teleoptometry appointment. A patient should also be provided a description of the types of optometric services provided via teleoptometry, including limitations on services. Informed consent should be timely documented in the patient’s medical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762.9(10)</w:t>
      </w:r>
      <w:r>
        <w:rPr>
          <w:rFonts w:ascii="Times New Roman" w:hAnsi="Times New Roman"/>
          <w:b w:val="false"/>
          <w:i w:val="false"/>
          <w:color w:val="000000"/>
          <w:sz w:val="24"/>
        </w:rPr>
        <w:t> </w:t>
      </w:r>
      <w:r>
        <w:rPr>
          <w:rFonts w:ascii="Times New Roman" w:hAnsi="Times New Roman"/>
          <w:b w:val="false"/>
          <w:i/>
          <w:color w:val="000000"/>
          <w:sz w:val="24"/>
        </w:rPr>
        <w:t xml:space="preserve">Follow-up and emergency care. </w:t>
      </w:r>
      <w:r>
        <w:rPr>
          <w:rFonts w:ascii="Times New Roman" w:hAnsi="Times New Roman"/>
          <w:b w:val="false"/>
          <w:i w:val="false"/>
          <w:color w:val="000000"/>
          <w:sz w:val="24"/>
        </w:rPr>
        <w:t>An optometrist delivering services through teleoptometry must, when medically necessary, provide timely in-person care or refer the patient for an in-person visit with an optometrist or qualified physician for diagnosis and care. An optometrist shall refer a patient to an acute care facility or an emergency department when necessary for the safety of the patient or in the case of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762.9(11)</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w:t>
      </w:r>
      <w:r>
        <w:rPr>
          <w:rFonts w:ascii="Times New Roman" w:hAnsi="Times New Roman"/>
          <w:b w:val="false"/>
          <w:i w:val="false"/>
          <w:color w:val="000000"/>
          <w:sz w:val="24"/>
        </w:rPr>
        <w:t xml:space="preserve">All optometrists shall ensure that the use of teleoptometry complies with the privacy, breach and security requirements of the Health Insurance Portability and Accountability Act of 1996 (HIPAA), </w:t>
      </w:r>
      <w:r>
        <w:rPr>
          <w:rFonts w:ascii="Times New Roman" w:hAnsi="Times New Roman"/>
          <w:b w:val="false"/>
          <w:i w:val="false"/>
          <w:color w:val="000000"/>
          <w:sz w:val="24"/>
        </w:rPr>
        <w:t>45 CFR Part 160</w:t>
      </w:r>
      <w:r>
        <w:rPr>
          <w:rFonts w:ascii="Times New Roman" w:hAnsi="Times New Roman"/>
          <w:b w:val="false"/>
          <w:i w:val="false"/>
          <w:color w:val="000000"/>
          <w:sz w:val="24"/>
        </w:rPr>
        <w:t>, Part 162, and Part 164, and any amendments as of August 30,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762.9(12)</w:t>
      </w:r>
      <w:r>
        <w:rPr>
          <w:rFonts w:ascii="Times New Roman" w:hAnsi="Times New Roman"/>
          <w:b w:val="false"/>
          <w:i w:val="false"/>
          <w:color w:val="000000"/>
          <w:sz w:val="24"/>
        </w:rPr>
        <w:t> </w:t>
      </w:r>
      <w:r>
        <w:rPr>
          <w:rFonts w:ascii="Times New Roman" w:hAnsi="Times New Roman"/>
          <w:b w:val="false"/>
          <w:i/>
          <w:color w:val="000000"/>
          <w:sz w:val="24"/>
        </w:rPr>
        <w:t xml:space="preserve">Nonoptometric providers. </w:t>
      </w:r>
      <w:r>
        <w:rPr>
          <w:rFonts w:ascii="Times New Roman" w:hAnsi="Times New Roman"/>
          <w:b w:val="false"/>
          <w:i w:val="false"/>
          <w:color w:val="000000"/>
          <w:sz w:val="24"/>
        </w:rPr>
        <w:t>If a licensee who uses teleoptometry relies upon or delegates the provision of teleoptometry services to a nonoptometric provider, the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Ensure that systems are in place to ensure that the nonoptometric provider is qualified and trained to provide that service within the scope of the nonoptometric provider’s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Ensure that the licensee is available in person or electronically to consult with the nonoptometric provider, particularly in the case of injury or an emergency.</w:t>
      </w:r>
    </w:p>
    <w:p>
      <w:pPr>
        <w:spacing w:before="0" w:after="0" w:line="480"/>
        <w:ind w:left="120"/>
        <w:jc w:val="left"/>
      </w:pPr>
      <w:r>
        <w:rPr>
          <w:rFonts w:ascii="Times New Roman" w:hAnsi="Times New Roman"/>
          <w:b w:val="false"/>
          <w:i w:val="false"/>
          <w:color w:val="000000"/>
          <w:sz w:val="24"/>
        </w:rPr>
        <w:t xml:space="preserve">This rule is intended to implement Iowa Code chapters </w:t>
      </w:r>
      <w:hyperlink r:id="rId5">
        <w:r>
          <w:rPr>
            <w:rStyle w:val="Hyperlink"/>
            <w:rFonts w:ascii="Times New Roman" w:hAnsi="Times New Roman"/>
            <w:b w:val="false"/>
            <w:i w:val="false"/>
            <w:color w:val="000000"/>
            <w:sz w:val="24"/>
          </w:rPr>
          <w:t>154</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155A</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emily.deronde@dia.iowa.gov" Type="http://schemas.openxmlformats.org/officeDocument/2006/relationships/hyperlink" Id="rId4"/>
    <Relationship TargetMode="External" Target="https://www.legis.iowa.gov/docs/ico/chapter/154.pdf" Type="http://schemas.openxmlformats.org/officeDocument/2006/relationships/hyperlink" Id="rId5"/>
    <Relationship TargetMode="External" Target="https://www.legis.iowa.gov/docs/ico/chapter/155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